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E02" w:rsidRDefault="00E31E02" w:rsidP="00E31E02">
      <w:pPr>
        <w:pStyle w:val="FR1"/>
        <w:spacing w:before="0" w:line="240" w:lineRule="auto"/>
        <w:ind w:left="6096" w:righ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«УТВЕРЖДЕНО»</w:t>
      </w:r>
    </w:p>
    <w:p w:rsidR="00E31E02" w:rsidRDefault="00E31E02" w:rsidP="00E31E02">
      <w:pPr>
        <w:pStyle w:val="FR1"/>
        <w:spacing w:before="0" w:line="240" w:lineRule="auto"/>
        <w:ind w:left="4320" w:right="-103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Годового очередного общего собрания акционеров                                                </w:t>
      </w:r>
      <w:r w:rsidRPr="00D2120E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АО </w:t>
      </w:r>
      <w:r w:rsidRPr="00D2120E">
        <w:rPr>
          <w:rFonts w:ascii="Times New Roman" w:hAnsi="Times New Roman" w:cs="Times New Roman"/>
          <w:sz w:val="24"/>
          <w:szCs w:val="24"/>
          <w:lang w:val="uz-Cyrl-UZ"/>
        </w:rPr>
        <w:t xml:space="preserve">  «Elektrtarmoqqurilish»</w:t>
      </w:r>
      <w:r w:rsidRPr="003031F2">
        <w:rPr>
          <w:lang w:val="uz-Cyrl-UZ"/>
        </w:rPr>
        <w:t xml:space="preserve"> </w:t>
      </w:r>
    </w:p>
    <w:p w:rsidR="00E31E02" w:rsidRDefault="00E31E02" w:rsidP="00E31E02">
      <w:pPr>
        <w:pStyle w:val="FR1"/>
        <w:spacing w:before="0" w:line="240" w:lineRule="auto"/>
        <w:ind w:left="3600" w:right="-103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«28» июня 2019 года</w:t>
      </w:r>
    </w:p>
    <w:p w:rsidR="00E31E02" w:rsidRDefault="00E31E02" w:rsidP="00E31E02">
      <w:pPr>
        <w:pStyle w:val="FR1"/>
        <w:spacing w:before="0" w:line="240" w:lineRule="auto"/>
        <w:ind w:left="0" w:right="-103"/>
        <w:jc w:val="center"/>
        <w:rPr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31E02" w:rsidRDefault="00E31E02" w:rsidP="00E31E02">
      <w:pPr>
        <w:ind w:left="5760"/>
        <w:rPr>
          <w:color w:val="FF0000"/>
          <w:sz w:val="24"/>
          <w:szCs w:val="24"/>
        </w:rPr>
      </w:pPr>
    </w:p>
    <w:p w:rsidR="00E31E02" w:rsidRDefault="00E31E02" w:rsidP="00E31E02">
      <w:pPr>
        <w:pStyle w:val="2"/>
        <w:spacing w:before="0" w:line="240" w:lineRule="auto"/>
        <w:ind w:firstLine="426"/>
        <w:rPr>
          <w:color w:val="00B050"/>
          <w:sz w:val="28"/>
          <w:szCs w:val="28"/>
        </w:rPr>
      </w:pPr>
    </w:p>
    <w:p w:rsidR="00E31E02" w:rsidRPr="001D4AE1" w:rsidRDefault="00E31E02" w:rsidP="00E31E02"/>
    <w:p w:rsidR="00E31E02" w:rsidRDefault="00E31E02" w:rsidP="00E31E02">
      <w:pPr>
        <w:jc w:val="center"/>
        <w:rPr>
          <w:snapToGrid w:val="0"/>
          <w:color w:val="00B050"/>
          <w:sz w:val="24"/>
          <w:szCs w:val="24"/>
        </w:rPr>
      </w:pPr>
      <w:r>
        <w:rPr>
          <w:bCs/>
          <w:color w:val="00B050"/>
          <w:sz w:val="28"/>
          <w:szCs w:val="28"/>
        </w:rPr>
        <w:t xml:space="preserve"> </w:t>
      </w:r>
    </w:p>
    <w:p w:rsidR="00E31E02" w:rsidRDefault="00E31E02" w:rsidP="00E31E02">
      <w:pPr>
        <w:pStyle w:val="2"/>
        <w:spacing w:before="0" w:line="240" w:lineRule="auto"/>
        <w:ind w:firstLine="426"/>
        <w:rPr>
          <w:b w:val="0"/>
          <w:color w:val="00B050"/>
          <w:sz w:val="28"/>
          <w:szCs w:val="28"/>
        </w:rPr>
      </w:pPr>
      <w:r>
        <w:rPr>
          <w:b w:val="0"/>
          <w:color w:val="00B050"/>
          <w:sz w:val="28"/>
          <w:szCs w:val="28"/>
        </w:rPr>
        <w:t xml:space="preserve">Текст изменений и дополнений вносимых </w:t>
      </w:r>
      <w:proofErr w:type="gramStart"/>
      <w:r>
        <w:rPr>
          <w:b w:val="0"/>
          <w:color w:val="00B050"/>
          <w:sz w:val="28"/>
          <w:szCs w:val="28"/>
        </w:rPr>
        <w:t>в</w:t>
      </w:r>
      <w:proofErr w:type="gramEnd"/>
      <w:r>
        <w:rPr>
          <w:b w:val="0"/>
          <w:color w:val="00B050"/>
          <w:sz w:val="28"/>
          <w:szCs w:val="28"/>
        </w:rPr>
        <w:t xml:space="preserve"> </w:t>
      </w:r>
    </w:p>
    <w:p w:rsidR="00E31E02" w:rsidRDefault="00E31E02" w:rsidP="00E31E02">
      <w:pPr>
        <w:pStyle w:val="2"/>
        <w:spacing w:before="0" w:line="240" w:lineRule="auto"/>
        <w:ind w:firstLine="426"/>
        <w:rPr>
          <w:b w:val="0"/>
          <w:color w:val="00B050"/>
          <w:sz w:val="28"/>
          <w:szCs w:val="28"/>
        </w:rPr>
      </w:pPr>
      <w:r>
        <w:rPr>
          <w:b w:val="0"/>
          <w:color w:val="00B050"/>
          <w:sz w:val="28"/>
          <w:szCs w:val="28"/>
        </w:rPr>
        <w:t>ПОЛОЖЕНИЕ</w:t>
      </w:r>
    </w:p>
    <w:p w:rsidR="00E31E02" w:rsidRDefault="00E31E02" w:rsidP="00E31E02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Об общем собрании акционеров</w:t>
      </w:r>
    </w:p>
    <w:p w:rsidR="00E31E02" w:rsidRDefault="00E31E02" w:rsidP="00E31E02">
      <w:pPr>
        <w:ind w:left="259" w:right="247"/>
        <w:jc w:val="center"/>
        <w:rPr>
          <w:sz w:val="28"/>
          <w:szCs w:val="28"/>
          <w:lang w:val="uz-Latn-UZ"/>
        </w:rPr>
      </w:pPr>
      <w:r>
        <w:rPr>
          <w:bCs/>
          <w:sz w:val="28"/>
          <w:szCs w:val="28"/>
        </w:rPr>
        <w:t xml:space="preserve"> Акционерного общества</w:t>
      </w:r>
      <w:r>
        <w:rPr>
          <w:bCs/>
          <w:color w:val="0000FF"/>
          <w:sz w:val="28"/>
          <w:szCs w:val="28"/>
        </w:rPr>
        <w:t xml:space="preserve"> </w:t>
      </w:r>
      <w:r w:rsidRPr="003031F2">
        <w:rPr>
          <w:color w:val="000000"/>
          <w:lang w:val="uz-Cyrl-UZ"/>
        </w:rPr>
        <w:t xml:space="preserve"> </w:t>
      </w:r>
      <w:r w:rsidRPr="003031F2">
        <w:rPr>
          <w:lang w:val="uz-Cyrl-UZ"/>
        </w:rPr>
        <w:t xml:space="preserve">  </w:t>
      </w:r>
      <w:r w:rsidRPr="0077051B">
        <w:rPr>
          <w:sz w:val="28"/>
          <w:szCs w:val="28"/>
          <w:lang w:val="uz-Cyrl-UZ"/>
        </w:rPr>
        <w:t>«Elektrtarmoqqurilish»</w:t>
      </w:r>
      <w:r w:rsidRPr="003031F2">
        <w:rPr>
          <w:lang w:val="uz-Cyrl-UZ"/>
        </w:rPr>
        <w:t xml:space="preserve"> </w:t>
      </w:r>
    </w:p>
    <w:p w:rsidR="00E31E02" w:rsidRDefault="00E31E02" w:rsidP="00E31E02">
      <w:pPr>
        <w:jc w:val="center"/>
      </w:pPr>
    </w:p>
    <w:p w:rsidR="00E31E02" w:rsidRDefault="00E31E02" w:rsidP="00E31E02"/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961"/>
      </w:tblGrid>
      <w:tr w:rsidR="00E31E02" w:rsidTr="001C28F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02" w:rsidRDefault="00E31E02" w:rsidP="001C28F9">
            <w:pPr>
              <w:widowControl w:val="0"/>
              <w:spacing w:before="60" w:line="240" w:lineRule="exact"/>
              <w:ind w:left="1580" w:right="1600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Старая редакция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02" w:rsidRDefault="00E31E02" w:rsidP="001C28F9">
            <w:pPr>
              <w:widowControl w:val="0"/>
              <w:spacing w:before="60" w:line="240" w:lineRule="exact"/>
              <w:ind w:left="1580" w:right="1600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Новая редакция</w:t>
            </w:r>
          </w:p>
        </w:tc>
      </w:tr>
      <w:tr w:rsidR="00E31E02" w:rsidTr="001C28F9">
        <w:trPr>
          <w:trHeight w:val="466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02" w:rsidRDefault="00E31E02" w:rsidP="001C28F9">
            <w:pPr>
              <w:shd w:val="clear" w:color="auto" w:fill="FFFFFF"/>
              <w:ind w:firstLine="33"/>
              <w:jc w:val="both"/>
              <w:rPr>
                <w:b/>
                <w:sz w:val="24"/>
                <w:szCs w:val="24"/>
              </w:rPr>
            </w:pPr>
          </w:p>
          <w:p w:rsidR="00E31E02" w:rsidRPr="00160320" w:rsidRDefault="00E31E02" w:rsidP="001C28F9">
            <w:pPr>
              <w:shd w:val="clear" w:color="auto" w:fill="FFFFFF"/>
              <w:ind w:firstLine="3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Пункт 2.1. Абзац 11</w:t>
            </w:r>
            <w:r w:rsidRPr="00160320">
              <w:rPr>
                <w:b/>
                <w:sz w:val="24"/>
                <w:szCs w:val="24"/>
              </w:rPr>
              <w:t xml:space="preserve">: </w:t>
            </w:r>
          </w:p>
          <w:p w:rsidR="00E31E02" w:rsidRDefault="00E31E02" w:rsidP="001C28F9">
            <w:pPr>
              <w:shd w:val="clear" w:color="auto" w:fill="FFFFFF"/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E31E02" w:rsidRDefault="00E31E02" w:rsidP="001C28F9">
            <w:pPr>
              <w:shd w:val="clear" w:color="auto" w:fill="FFFFFF"/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Дополнить</w:t>
            </w:r>
          </w:p>
          <w:p w:rsidR="00E31E02" w:rsidRDefault="00E31E02" w:rsidP="001C28F9">
            <w:pPr>
              <w:shd w:val="clear" w:color="auto" w:fill="FFFFFF"/>
              <w:ind w:firstLine="33"/>
              <w:jc w:val="both"/>
              <w:rPr>
                <w:sz w:val="24"/>
                <w:szCs w:val="24"/>
              </w:rPr>
            </w:pPr>
          </w:p>
          <w:p w:rsidR="00E31E02" w:rsidRDefault="00E31E02" w:rsidP="001C28F9">
            <w:pPr>
              <w:shd w:val="clear" w:color="auto" w:fill="FFFFFF"/>
              <w:ind w:firstLine="33"/>
              <w:jc w:val="both"/>
              <w:rPr>
                <w:sz w:val="24"/>
                <w:szCs w:val="24"/>
              </w:rPr>
            </w:pPr>
          </w:p>
          <w:p w:rsidR="00E31E02" w:rsidRDefault="00E31E02" w:rsidP="001C28F9">
            <w:pPr>
              <w:shd w:val="clear" w:color="auto" w:fill="FFFFFF"/>
              <w:ind w:firstLine="33"/>
              <w:jc w:val="both"/>
              <w:rPr>
                <w:sz w:val="24"/>
                <w:szCs w:val="24"/>
              </w:rPr>
            </w:pPr>
          </w:p>
          <w:p w:rsidR="00E31E02" w:rsidRDefault="00E31E02" w:rsidP="001C28F9">
            <w:pPr>
              <w:shd w:val="clear" w:color="auto" w:fill="FFFFFF"/>
              <w:ind w:firstLine="3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Пункт 4.3.</w:t>
            </w:r>
            <w:r w:rsidRPr="00160320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31E02" w:rsidRDefault="00E31E02" w:rsidP="001C28F9">
            <w:pPr>
              <w:shd w:val="clear" w:color="auto" w:fill="FFFFFF"/>
              <w:ind w:firstLine="33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EA3F3A">
              <w:rPr>
                <w:sz w:val="24"/>
                <w:szCs w:val="24"/>
              </w:rPr>
              <w:t>Дата проведения Общего собрания акционеров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EA3F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не может быть установлена менее чем за десять  и более чем за тридцать дней со дня принятия решения о его проведении.</w:t>
            </w:r>
          </w:p>
          <w:p w:rsidR="00E31E02" w:rsidRPr="00F84B46" w:rsidRDefault="00E31E02" w:rsidP="001C28F9">
            <w:pPr>
              <w:shd w:val="clear" w:color="auto" w:fill="FFFFFF"/>
              <w:ind w:firstLine="33"/>
              <w:jc w:val="both"/>
              <w:rPr>
                <w:b/>
                <w:sz w:val="24"/>
                <w:szCs w:val="24"/>
              </w:rPr>
            </w:pPr>
          </w:p>
          <w:p w:rsidR="00E31E02" w:rsidRPr="00F84B46" w:rsidRDefault="00E31E02" w:rsidP="001C28F9">
            <w:pPr>
              <w:shd w:val="clear" w:color="auto" w:fill="FFFFFF"/>
              <w:ind w:firstLine="33"/>
              <w:jc w:val="both"/>
              <w:rPr>
                <w:b/>
                <w:sz w:val="24"/>
                <w:szCs w:val="24"/>
              </w:rPr>
            </w:pPr>
            <w:r w:rsidRPr="00F84B46">
              <w:rPr>
                <w:b/>
                <w:sz w:val="24"/>
                <w:szCs w:val="24"/>
              </w:rPr>
              <w:t xml:space="preserve">Пункт 4.4. Абзац 1: </w:t>
            </w:r>
          </w:p>
          <w:p w:rsidR="00E31E02" w:rsidRPr="00F84B46" w:rsidRDefault="00E31E02" w:rsidP="001C28F9">
            <w:pPr>
              <w:shd w:val="clear" w:color="auto" w:fill="FFFFFF"/>
              <w:ind w:firstLine="33"/>
              <w:jc w:val="both"/>
              <w:rPr>
                <w:sz w:val="24"/>
                <w:szCs w:val="24"/>
              </w:rPr>
            </w:pPr>
            <w:r w:rsidRPr="00F84B46">
              <w:rPr>
                <w:b/>
                <w:sz w:val="24"/>
                <w:szCs w:val="24"/>
              </w:rPr>
              <w:t xml:space="preserve">      </w:t>
            </w:r>
            <w:r w:rsidRPr="00F84B46">
              <w:rPr>
                <w:sz w:val="24"/>
                <w:szCs w:val="24"/>
              </w:rPr>
              <w:t>Сообщение о проведении Общего собрания акционеров публикуется на официальном веб-сайте Общества</w:t>
            </w:r>
            <w:proofErr w:type="gramStart"/>
            <w:r w:rsidRPr="00F84B46">
              <w:rPr>
                <w:sz w:val="24"/>
                <w:szCs w:val="24"/>
              </w:rPr>
              <w:t xml:space="preserve"> ,</w:t>
            </w:r>
            <w:proofErr w:type="gramEnd"/>
            <w:r w:rsidRPr="00F84B46">
              <w:rPr>
                <w:sz w:val="24"/>
                <w:szCs w:val="24"/>
              </w:rPr>
              <w:t xml:space="preserve"> в средствах массовой информации, а так же направляется акционерам по электронной почте не позднее чем за семь дней, но не ранее чем за тридцать дней до даты проведения Общего собрания акционеров.</w:t>
            </w:r>
          </w:p>
          <w:p w:rsidR="00E31E02" w:rsidRDefault="00E31E02" w:rsidP="001C28F9">
            <w:pPr>
              <w:shd w:val="clear" w:color="auto" w:fill="FFFFFF"/>
              <w:ind w:firstLine="33"/>
              <w:jc w:val="both"/>
              <w:rPr>
                <w:sz w:val="24"/>
                <w:szCs w:val="24"/>
              </w:rPr>
            </w:pPr>
          </w:p>
          <w:p w:rsidR="00E31E02" w:rsidRDefault="00E31E02" w:rsidP="001C28F9">
            <w:pPr>
              <w:shd w:val="clear" w:color="auto" w:fill="FFFFFF"/>
              <w:ind w:firstLine="33"/>
              <w:jc w:val="both"/>
              <w:rPr>
                <w:b/>
                <w:sz w:val="24"/>
                <w:szCs w:val="24"/>
              </w:rPr>
            </w:pPr>
          </w:p>
          <w:p w:rsidR="00E31E02" w:rsidRDefault="00E31E02" w:rsidP="001C28F9">
            <w:pPr>
              <w:shd w:val="clear" w:color="auto" w:fill="FFFFFF"/>
              <w:ind w:firstLine="33"/>
              <w:jc w:val="both"/>
              <w:rPr>
                <w:b/>
                <w:sz w:val="24"/>
                <w:szCs w:val="24"/>
              </w:rPr>
            </w:pPr>
          </w:p>
          <w:p w:rsidR="00E31E02" w:rsidRDefault="00E31E02" w:rsidP="001C28F9">
            <w:pPr>
              <w:shd w:val="clear" w:color="auto" w:fill="FFFFFF"/>
              <w:ind w:firstLine="33"/>
              <w:jc w:val="both"/>
              <w:rPr>
                <w:b/>
                <w:sz w:val="24"/>
                <w:szCs w:val="24"/>
              </w:rPr>
            </w:pPr>
          </w:p>
          <w:p w:rsidR="00E31E02" w:rsidRDefault="00E31E02" w:rsidP="001C28F9">
            <w:pPr>
              <w:shd w:val="clear" w:color="auto" w:fill="FFFFFF"/>
              <w:ind w:firstLine="33"/>
              <w:jc w:val="both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Пункт 4.4. Абзац 2:     </w:t>
            </w:r>
          </w:p>
          <w:p w:rsidR="00E31E02" w:rsidRDefault="00E31E02" w:rsidP="00E31E02">
            <w:pPr>
              <w:shd w:val="clear" w:color="auto" w:fill="FFFFFF"/>
              <w:ind w:firstLine="33"/>
              <w:jc w:val="both"/>
              <w:rPr>
                <w:b/>
                <w:snapToGrid w:val="0"/>
                <w:color w:val="FF0000"/>
                <w:sz w:val="22"/>
              </w:rPr>
            </w:pPr>
            <w:r>
              <w:rPr>
                <w:sz w:val="24"/>
                <w:szCs w:val="24"/>
              </w:rPr>
              <w:t xml:space="preserve">    Общество обязано уведомить представителя государства в письменной форме не позднее, чем за семь дней</w:t>
            </w:r>
            <w:r w:rsidRPr="001D15DB">
              <w:rPr>
                <w:sz w:val="24"/>
                <w:szCs w:val="24"/>
              </w:rPr>
              <w:t xml:space="preserve"> до даты проведения Общего собрания</w:t>
            </w:r>
            <w:r w:rsidRPr="00EA3F3A">
              <w:rPr>
                <w:sz w:val="24"/>
                <w:szCs w:val="24"/>
              </w:rPr>
              <w:t xml:space="preserve"> акционеров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02" w:rsidRDefault="00E31E02" w:rsidP="001C28F9">
            <w:pPr>
              <w:shd w:val="clear" w:color="auto" w:fill="FFFFFF"/>
              <w:ind w:firstLine="33"/>
              <w:jc w:val="both"/>
              <w:rPr>
                <w:b/>
                <w:sz w:val="24"/>
                <w:szCs w:val="24"/>
              </w:rPr>
            </w:pPr>
          </w:p>
          <w:p w:rsidR="00E31E02" w:rsidRDefault="00E31E02" w:rsidP="001C28F9">
            <w:pPr>
              <w:shd w:val="clear" w:color="auto" w:fill="FFFFFF"/>
              <w:ind w:firstLine="3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Пункт 2.1. Абзац 11</w:t>
            </w:r>
            <w:r w:rsidRPr="00160320">
              <w:rPr>
                <w:b/>
                <w:sz w:val="24"/>
                <w:szCs w:val="24"/>
              </w:rPr>
              <w:t xml:space="preserve">: </w:t>
            </w:r>
          </w:p>
          <w:p w:rsidR="00E31E02" w:rsidRDefault="00E31E02" w:rsidP="001C28F9">
            <w:pPr>
              <w:shd w:val="clear" w:color="auto" w:fill="FFFFFF"/>
              <w:ind w:firstLine="33"/>
              <w:jc w:val="both"/>
              <w:rPr>
                <w:b/>
                <w:sz w:val="24"/>
                <w:szCs w:val="24"/>
              </w:rPr>
            </w:pPr>
          </w:p>
          <w:p w:rsidR="00E31E02" w:rsidRDefault="00E31E02" w:rsidP="001C28F9">
            <w:pPr>
              <w:shd w:val="clear" w:color="auto" w:fill="FFFFFF"/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 утверждать  аудиторскую организацию и предельный размер оплаты её услуг;</w:t>
            </w:r>
          </w:p>
          <w:p w:rsidR="00E31E02" w:rsidRDefault="00E31E02" w:rsidP="001C28F9">
            <w:pPr>
              <w:shd w:val="clear" w:color="auto" w:fill="FFFFFF"/>
              <w:ind w:firstLine="33"/>
              <w:jc w:val="both"/>
              <w:rPr>
                <w:b/>
                <w:sz w:val="24"/>
                <w:szCs w:val="24"/>
              </w:rPr>
            </w:pPr>
          </w:p>
          <w:p w:rsidR="00E31E02" w:rsidRDefault="00E31E02" w:rsidP="001C28F9">
            <w:pPr>
              <w:shd w:val="clear" w:color="auto" w:fill="FFFFFF"/>
              <w:ind w:firstLine="33"/>
              <w:jc w:val="both"/>
              <w:rPr>
                <w:b/>
                <w:sz w:val="24"/>
                <w:szCs w:val="24"/>
              </w:rPr>
            </w:pPr>
          </w:p>
          <w:p w:rsidR="00E31E02" w:rsidRDefault="00E31E02" w:rsidP="001C28F9">
            <w:pPr>
              <w:shd w:val="clear" w:color="auto" w:fill="FFFFFF"/>
              <w:ind w:firstLine="3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Пункт 4.3.</w:t>
            </w:r>
            <w:r w:rsidRPr="00160320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31E02" w:rsidRPr="00160320" w:rsidRDefault="00E31E02" w:rsidP="001C28F9">
            <w:pPr>
              <w:shd w:val="clear" w:color="auto" w:fill="FFFFFF"/>
              <w:ind w:firstLine="33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EA3F3A">
              <w:rPr>
                <w:sz w:val="24"/>
                <w:szCs w:val="24"/>
              </w:rPr>
              <w:t>Дата проведения Общего собрания акционеров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A3F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не может быть установлена менее чем за 21 (двадцать один)  и более чем за 30 (тридцать дней) со дня  решения о его проведении.</w:t>
            </w:r>
          </w:p>
          <w:p w:rsidR="00E31E02" w:rsidRDefault="00E31E02" w:rsidP="001C28F9">
            <w:pPr>
              <w:shd w:val="clear" w:color="auto" w:fill="FFFFFF"/>
              <w:ind w:firstLine="33"/>
              <w:jc w:val="both"/>
              <w:rPr>
                <w:b/>
                <w:sz w:val="24"/>
                <w:szCs w:val="24"/>
              </w:rPr>
            </w:pPr>
          </w:p>
          <w:p w:rsidR="00E31E02" w:rsidRPr="00C62592" w:rsidRDefault="00E31E02" w:rsidP="001C28F9">
            <w:pPr>
              <w:shd w:val="clear" w:color="auto" w:fill="FFFFFF"/>
              <w:ind w:firstLine="33"/>
              <w:jc w:val="both"/>
              <w:rPr>
                <w:b/>
                <w:sz w:val="24"/>
                <w:szCs w:val="24"/>
              </w:rPr>
            </w:pPr>
            <w:r w:rsidRPr="00C62592">
              <w:rPr>
                <w:b/>
                <w:sz w:val="24"/>
                <w:szCs w:val="24"/>
              </w:rPr>
              <w:t xml:space="preserve">Пункт 4.4. Абзац 1: </w:t>
            </w:r>
          </w:p>
          <w:p w:rsidR="00E31E02" w:rsidRPr="00B2516A" w:rsidRDefault="00E31E02" w:rsidP="001C28F9">
            <w:pPr>
              <w:shd w:val="clear" w:color="auto" w:fill="FFFFFF"/>
              <w:ind w:firstLine="33"/>
              <w:jc w:val="both"/>
              <w:rPr>
                <w:sz w:val="24"/>
                <w:szCs w:val="24"/>
              </w:rPr>
            </w:pPr>
            <w:r w:rsidRPr="00C62592">
              <w:rPr>
                <w:b/>
                <w:sz w:val="24"/>
                <w:szCs w:val="24"/>
              </w:rPr>
              <w:t xml:space="preserve">      </w:t>
            </w:r>
            <w:proofErr w:type="gramStart"/>
            <w:r w:rsidRPr="00B2516A">
              <w:rPr>
                <w:sz w:val="24"/>
                <w:szCs w:val="24"/>
              </w:rPr>
              <w:t>Сообщение о проведении общего собрания акционеров публикуется на Едином портале корпоративной информации, на официальном веб-сайте общества и в средствах массовой информации, а также направляется акционерам по электронной почте не позднее</w:t>
            </w:r>
            <w:r>
              <w:rPr>
                <w:sz w:val="24"/>
                <w:szCs w:val="24"/>
              </w:rPr>
              <w:t>,</w:t>
            </w:r>
            <w:r w:rsidRPr="00B2516A">
              <w:rPr>
                <w:sz w:val="24"/>
                <w:szCs w:val="24"/>
              </w:rPr>
              <w:t xml:space="preserve"> чем за двадцать один день, но не ранее чем за тридцать дней до даты проведения общего собрания акционеров, при этом акционерам сообщение направляется не позднее дня публикации.</w:t>
            </w:r>
            <w:proofErr w:type="gramEnd"/>
          </w:p>
          <w:p w:rsidR="00E31E02" w:rsidRDefault="00E31E02" w:rsidP="001C28F9">
            <w:pPr>
              <w:shd w:val="clear" w:color="auto" w:fill="FFFFFF"/>
              <w:ind w:firstLine="33"/>
              <w:jc w:val="both"/>
              <w:rPr>
                <w:b/>
                <w:sz w:val="24"/>
                <w:szCs w:val="24"/>
              </w:rPr>
            </w:pPr>
          </w:p>
          <w:p w:rsidR="00E31E02" w:rsidRDefault="00E31E02" w:rsidP="001C28F9">
            <w:pPr>
              <w:shd w:val="clear" w:color="auto" w:fill="FFFFFF"/>
              <w:ind w:firstLine="3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Пункт 4.4. Абзац 2:     </w:t>
            </w:r>
          </w:p>
          <w:p w:rsidR="00E31E02" w:rsidRDefault="00E31E02" w:rsidP="00E31E02">
            <w:pPr>
              <w:shd w:val="clear" w:color="auto" w:fill="FFFFFF"/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Общество обязано уведомить представителя государства в письменной форме не позднее, чем за 21 день</w:t>
            </w:r>
            <w:r w:rsidRPr="001D15DB">
              <w:rPr>
                <w:sz w:val="24"/>
                <w:szCs w:val="24"/>
              </w:rPr>
              <w:t xml:space="preserve"> до даты проведения Общего собрания</w:t>
            </w:r>
            <w:r w:rsidRPr="00EA3F3A">
              <w:rPr>
                <w:sz w:val="24"/>
                <w:szCs w:val="24"/>
              </w:rPr>
              <w:t xml:space="preserve"> акционеров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074071" w:rsidRDefault="00074071"/>
    <w:sectPr w:rsidR="00074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E02"/>
    <w:rsid w:val="00074071"/>
    <w:rsid w:val="00E3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31E02"/>
    <w:pPr>
      <w:keepNext/>
      <w:widowControl w:val="0"/>
      <w:snapToGrid w:val="0"/>
      <w:spacing w:before="160" w:line="180" w:lineRule="exact"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31E02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FR1">
    <w:name w:val="FR1"/>
    <w:rsid w:val="00E31E02"/>
    <w:pPr>
      <w:widowControl w:val="0"/>
      <w:autoSpaceDE w:val="0"/>
      <w:autoSpaceDN w:val="0"/>
      <w:adjustRightInd w:val="0"/>
      <w:spacing w:before="40" w:after="0" w:line="300" w:lineRule="auto"/>
      <w:ind w:left="1000" w:right="1000"/>
      <w:jc w:val="right"/>
    </w:pPr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31E02"/>
    <w:pPr>
      <w:keepNext/>
      <w:widowControl w:val="0"/>
      <w:snapToGrid w:val="0"/>
      <w:spacing w:before="160" w:line="180" w:lineRule="exact"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31E02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FR1">
    <w:name w:val="FR1"/>
    <w:rsid w:val="00E31E02"/>
    <w:pPr>
      <w:widowControl w:val="0"/>
      <w:autoSpaceDE w:val="0"/>
      <w:autoSpaceDN w:val="0"/>
      <w:adjustRightInd w:val="0"/>
      <w:spacing w:before="40" w:after="0" w:line="300" w:lineRule="auto"/>
      <w:ind w:left="1000" w:right="1000"/>
      <w:jc w:val="right"/>
    </w:pPr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Anvar Bikkulov</dc:creator>
  <cp:lastModifiedBy>Anvar Bikkulov</cp:lastModifiedBy>
  <cp:revision>1</cp:revision>
  <dcterms:created xsi:type="dcterms:W3CDTF">2019-07-15T03:45:00Z</dcterms:created>
  <dcterms:modified xsi:type="dcterms:W3CDTF">2019-07-15T03:46:00Z</dcterms:modified>
</cp:coreProperties>
</file>